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eastAsia"/>
          <w:lang w:val="en-US" w:eastAsia="zh-CN"/>
        </w:rPr>
        <w:t> </w:t>
      </w:r>
    </w:p>
    <w:p>
      <w:pPr>
        <w:rPr>
          <w:rFonts w:hint="default"/>
        </w:rPr>
      </w:pPr>
      <w:r>
        <w:rPr>
          <w:rFonts w:hint="eastAsia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720" w:firstLineChars="200"/>
        <w:jc w:val="center"/>
        <w:textAlignment w:val="auto"/>
        <w:outlineLvl w:val="9"/>
        <w:rPr>
          <w:rFonts w:hint="default" w:ascii="微软雅黑" w:hAnsi="微软雅黑" w:eastAsia="微软雅黑" w:cs="微软雅黑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36"/>
          <w:szCs w:val="36"/>
          <w:lang w:val="en-US" w:eastAsia="zh-CN"/>
        </w:rPr>
        <w:t>国家知识产权强市创建工作方案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（参考模版）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应明确指导思想、基本原则、主要目标，强市建设的目标要与本市知识产权事业发展情况相适应、与市政府中心工作相支撑，要具备指导性和可操作性。要体现知识产权改革创新，明确城市发展特色优势，对强市创建工作预期取得的成效既要设定定性的发展指标，也要设定可考核的定量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二、重点任务和重大工程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要以落实五大工程相关任务为重点，体现“工程式建设、体系化推进、项目式管理、责任制落实”的推进方式。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三、实施步骤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明确各项建设任务实施的时间表和路线图。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四、保障条件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要建立强市创建工作统筹协调机制和督导落实机制，强化强市创建工作的基础条件。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95307"/>
    <w:rsid w:val="4E0F3995"/>
    <w:rsid w:val="7D562D38"/>
    <w:rsid w:val="7DB75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HEDY</dc:creator>
  <cp:lastModifiedBy>敏子</cp:lastModifiedBy>
  <dcterms:modified xsi:type="dcterms:W3CDTF">2018-08-01T02:42:21Z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